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028F3" w14:textId="5D8EAE09" w:rsidR="001C3B05" w:rsidRPr="000C5718" w:rsidRDefault="0056033A" w:rsidP="000C5718">
      <w:pPr>
        <w:jc w:val="center"/>
        <w:rPr>
          <w:b/>
          <w:bCs/>
          <w:sz w:val="28"/>
          <w:szCs w:val="28"/>
          <w:lang w:val="en-US"/>
        </w:rPr>
      </w:pPr>
      <w:r>
        <w:rPr>
          <w:b/>
          <w:bCs/>
          <w:sz w:val="28"/>
          <w:szCs w:val="28"/>
          <w:lang w:val="en-US"/>
        </w:rPr>
        <w:t>INFORMATION TECHNOLOGY AND</w:t>
      </w:r>
      <w:bookmarkStart w:id="0" w:name="_GoBack"/>
      <w:bookmarkEnd w:id="0"/>
      <w:r w:rsidRPr="0056033A">
        <w:rPr>
          <w:b/>
          <w:bCs/>
          <w:sz w:val="28"/>
          <w:szCs w:val="28"/>
          <w:lang w:val="en-US"/>
        </w:rPr>
        <w:t xml:space="preserve"> DIGITAL BANKING</w:t>
      </w:r>
    </w:p>
    <w:tbl>
      <w:tblPr>
        <w:tblW w:w="10916" w:type="dxa"/>
        <w:tblInd w:w="-998" w:type="dxa"/>
        <w:tblLook w:val="04A0" w:firstRow="1" w:lastRow="0" w:firstColumn="1" w:lastColumn="0" w:noHBand="0" w:noVBand="1"/>
      </w:tblPr>
      <w:tblGrid>
        <w:gridCol w:w="993"/>
        <w:gridCol w:w="9923"/>
      </w:tblGrid>
      <w:tr w:rsidR="000C5718" w:rsidRPr="000C5718" w14:paraId="771C8772" w14:textId="77777777" w:rsidTr="00B44B00">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1D8604" w14:textId="1D68E2F6" w:rsidR="000C5718" w:rsidRPr="000C5718" w:rsidRDefault="000C5718" w:rsidP="000C5718">
            <w:pPr>
              <w:spacing w:after="0" w:line="240" w:lineRule="auto"/>
              <w:jc w:val="center"/>
              <w:rPr>
                <w:rFonts w:ascii="Calibri" w:eastAsia="Times New Roman" w:hAnsi="Calibri" w:cs="Calibri"/>
                <w:b/>
                <w:bCs/>
                <w:color w:val="000000"/>
                <w:kern w:val="0"/>
                <w:sz w:val="24"/>
                <w:szCs w:val="24"/>
                <w:lang w:eastAsia="en-IN"/>
                <w14:ligatures w14:val="none"/>
              </w:rPr>
            </w:pPr>
            <w:r w:rsidRPr="000C5718">
              <w:rPr>
                <w:rFonts w:ascii="Calibri" w:eastAsia="Times New Roman" w:hAnsi="Calibri" w:cs="Calibri"/>
                <w:b/>
                <w:bCs/>
                <w:color w:val="000000"/>
                <w:kern w:val="0"/>
                <w:sz w:val="24"/>
                <w:szCs w:val="24"/>
                <w:lang w:eastAsia="en-IN"/>
                <w14:ligatures w14:val="none"/>
              </w:rPr>
              <w:t>Sr. No.</w:t>
            </w:r>
          </w:p>
        </w:tc>
        <w:tc>
          <w:tcPr>
            <w:tcW w:w="9923" w:type="dxa"/>
            <w:tcBorders>
              <w:top w:val="single" w:sz="4" w:space="0" w:color="auto"/>
              <w:left w:val="nil"/>
              <w:bottom w:val="single" w:sz="4" w:space="0" w:color="auto"/>
              <w:right w:val="single" w:sz="4" w:space="0" w:color="auto"/>
            </w:tcBorders>
            <w:shd w:val="clear" w:color="auto" w:fill="auto"/>
            <w:vAlign w:val="center"/>
          </w:tcPr>
          <w:p w14:paraId="65AB4901" w14:textId="47CCF5C7" w:rsidR="000C5718" w:rsidRPr="000C5718" w:rsidRDefault="000C5718" w:rsidP="000C5718">
            <w:pPr>
              <w:spacing w:after="0" w:line="240" w:lineRule="auto"/>
              <w:jc w:val="center"/>
              <w:rPr>
                <w:rFonts w:ascii="Calibri" w:eastAsia="Times New Roman" w:hAnsi="Calibri" w:cs="Calibri"/>
                <w:b/>
                <w:bCs/>
                <w:color w:val="000000"/>
                <w:kern w:val="0"/>
                <w:sz w:val="24"/>
                <w:szCs w:val="24"/>
                <w:lang w:eastAsia="en-IN"/>
                <w14:ligatures w14:val="none"/>
              </w:rPr>
            </w:pPr>
            <w:r w:rsidRPr="000C5718">
              <w:rPr>
                <w:rFonts w:ascii="Calibri" w:eastAsia="Times New Roman" w:hAnsi="Calibri" w:cs="Calibri"/>
                <w:b/>
                <w:bCs/>
                <w:color w:val="000000"/>
                <w:kern w:val="0"/>
                <w:sz w:val="24"/>
                <w:szCs w:val="24"/>
                <w:lang w:eastAsia="en-IN"/>
                <w14:ligatures w14:val="none"/>
              </w:rPr>
              <w:t>RBI Notifications</w:t>
            </w:r>
          </w:p>
        </w:tc>
      </w:tr>
      <w:tr w:rsidR="000C5718" w:rsidRPr="000C5718" w14:paraId="4448B762" w14:textId="77777777" w:rsidTr="00B44B00">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203555" w14:textId="5283092B" w:rsidR="000C5718" w:rsidRPr="000C5718" w:rsidRDefault="000C5718" w:rsidP="000C5718">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w:t>
            </w:r>
          </w:p>
        </w:tc>
        <w:tc>
          <w:tcPr>
            <w:tcW w:w="9923" w:type="dxa"/>
            <w:tcBorders>
              <w:top w:val="single" w:sz="4" w:space="0" w:color="auto"/>
              <w:left w:val="nil"/>
              <w:bottom w:val="single" w:sz="4" w:space="0" w:color="auto"/>
              <w:right w:val="single" w:sz="4" w:space="0" w:color="auto"/>
            </w:tcBorders>
            <w:shd w:val="clear" w:color="auto" w:fill="auto"/>
            <w:vAlign w:val="center"/>
          </w:tcPr>
          <w:p w14:paraId="24AAB75A" w14:textId="680108DB" w:rsidR="000C5718" w:rsidRPr="000C5718" w:rsidRDefault="000C5718" w:rsidP="000C5718">
            <w:pPr>
              <w:spacing w:after="0" w:line="240" w:lineRule="auto"/>
              <w:rPr>
                <w:rFonts w:ascii="Calibri" w:eastAsia="Times New Roman" w:hAnsi="Calibri" w:cs="Calibri"/>
                <w:color w:val="000000"/>
                <w:kern w:val="0"/>
                <w:sz w:val="24"/>
                <w:szCs w:val="24"/>
                <w:lang w:eastAsia="en-IN"/>
                <w14:ligatures w14:val="none"/>
              </w:rPr>
            </w:pPr>
            <w:r w:rsidRPr="000C5718">
              <w:rPr>
                <w:rFonts w:ascii="Calibri" w:eastAsia="Times New Roman" w:hAnsi="Calibri" w:cs="Calibri"/>
                <w:color w:val="000000"/>
                <w:kern w:val="0"/>
                <w:sz w:val="24"/>
                <w:szCs w:val="24"/>
                <w:lang w:eastAsia="en-IN"/>
                <w14:ligatures w14:val="none"/>
              </w:rPr>
              <w:t>Issuance of PPIs to Foreign Nationals / Non-Resident Indians (NRIs) visiting India</w:t>
            </w:r>
          </w:p>
        </w:tc>
      </w:tr>
      <w:tr w:rsidR="000C5718" w:rsidRPr="000C5718" w14:paraId="0E99DBB4" w14:textId="77777777" w:rsidTr="00B44B00">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C8529AF" w14:textId="0B373723" w:rsidR="000C5718" w:rsidRPr="000C5718" w:rsidRDefault="000C5718" w:rsidP="000C5718">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2</w:t>
            </w:r>
          </w:p>
        </w:tc>
        <w:tc>
          <w:tcPr>
            <w:tcW w:w="9923" w:type="dxa"/>
            <w:tcBorders>
              <w:top w:val="nil"/>
              <w:left w:val="nil"/>
              <w:bottom w:val="single" w:sz="4" w:space="0" w:color="auto"/>
              <w:right w:val="single" w:sz="4" w:space="0" w:color="auto"/>
            </w:tcBorders>
            <w:shd w:val="clear" w:color="auto" w:fill="auto"/>
            <w:vAlign w:val="center"/>
            <w:hideMark/>
          </w:tcPr>
          <w:p w14:paraId="3B9CEF6C" w14:textId="77777777" w:rsidR="000C5718" w:rsidRPr="000C5718" w:rsidRDefault="000C5718" w:rsidP="000C5718">
            <w:pPr>
              <w:spacing w:after="0" w:line="240" w:lineRule="auto"/>
              <w:rPr>
                <w:rFonts w:ascii="Calibri" w:eastAsia="Times New Roman" w:hAnsi="Calibri" w:cs="Calibri"/>
                <w:color w:val="000000"/>
                <w:kern w:val="0"/>
                <w:sz w:val="24"/>
                <w:szCs w:val="24"/>
                <w:lang w:eastAsia="en-IN"/>
                <w14:ligatures w14:val="none"/>
              </w:rPr>
            </w:pPr>
            <w:r w:rsidRPr="000C5718">
              <w:rPr>
                <w:rFonts w:ascii="Calibri" w:eastAsia="Times New Roman" w:hAnsi="Calibri" w:cs="Calibri"/>
                <w:color w:val="000000"/>
                <w:kern w:val="0"/>
                <w:sz w:val="24"/>
                <w:szCs w:val="24"/>
                <w:lang w:eastAsia="en-IN"/>
                <w14:ligatures w14:val="none"/>
              </w:rPr>
              <w:t>Introduction of Foreign Contribution (Regulation) Act (FCRA) related transaction code in NEFT and RTGS Systems</w:t>
            </w:r>
          </w:p>
        </w:tc>
      </w:tr>
      <w:tr w:rsidR="000C5718" w:rsidRPr="000C5718" w14:paraId="0A48CEF6" w14:textId="77777777" w:rsidTr="00B44B00">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F8E3739" w14:textId="2211D138" w:rsidR="000C5718" w:rsidRPr="000C5718" w:rsidRDefault="000C5718" w:rsidP="000C5718">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3</w:t>
            </w:r>
          </w:p>
        </w:tc>
        <w:tc>
          <w:tcPr>
            <w:tcW w:w="9923" w:type="dxa"/>
            <w:tcBorders>
              <w:top w:val="nil"/>
              <w:left w:val="nil"/>
              <w:bottom w:val="single" w:sz="4" w:space="0" w:color="auto"/>
              <w:right w:val="single" w:sz="4" w:space="0" w:color="auto"/>
            </w:tcBorders>
            <w:shd w:val="clear" w:color="auto" w:fill="auto"/>
            <w:vAlign w:val="center"/>
            <w:hideMark/>
          </w:tcPr>
          <w:p w14:paraId="4DE94D57" w14:textId="77777777" w:rsidR="000C5718" w:rsidRPr="000C5718" w:rsidRDefault="000C5718" w:rsidP="000C5718">
            <w:pPr>
              <w:spacing w:after="0" w:line="240" w:lineRule="auto"/>
              <w:rPr>
                <w:rFonts w:ascii="Calibri" w:eastAsia="Times New Roman" w:hAnsi="Calibri" w:cs="Calibri"/>
                <w:color w:val="000000"/>
                <w:kern w:val="0"/>
                <w:sz w:val="24"/>
                <w:szCs w:val="24"/>
                <w:lang w:eastAsia="en-IN"/>
                <w14:ligatures w14:val="none"/>
              </w:rPr>
            </w:pPr>
            <w:r w:rsidRPr="000C5718">
              <w:rPr>
                <w:rFonts w:ascii="Calibri" w:eastAsia="Times New Roman" w:hAnsi="Calibri" w:cs="Calibri"/>
                <w:color w:val="000000"/>
                <w:kern w:val="0"/>
                <w:sz w:val="24"/>
                <w:szCs w:val="24"/>
                <w:lang w:eastAsia="en-IN"/>
                <w14:ligatures w14:val="none"/>
              </w:rPr>
              <w:t>Master Direction on Outsourcing of Information Technology Services</w:t>
            </w:r>
          </w:p>
        </w:tc>
      </w:tr>
    </w:tbl>
    <w:p w14:paraId="7448145B" w14:textId="77777777" w:rsidR="000C5718" w:rsidRDefault="000C5718" w:rsidP="000C5718">
      <w:pPr>
        <w:rPr>
          <w:lang w:val="en-US"/>
        </w:rPr>
      </w:pPr>
    </w:p>
    <w:p w14:paraId="7E999403" w14:textId="77777777" w:rsidR="00DA3A15" w:rsidRDefault="00DA3A15" w:rsidP="000C5718">
      <w:pPr>
        <w:rPr>
          <w:lang w:val="en-US"/>
        </w:rPr>
      </w:pPr>
    </w:p>
    <w:p w14:paraId="21BDF73E" w14:textId="77777777" w:rsidR="00DA3A15" w:rsidRDefault="00DA3A15" w:rsidP="000C5718">
      <w:pPr>
        <w:rPr>
          <w:lang w:val="en-US"/>
        </w:rPr>
      </w:pPr>
    </w:p>
    <w:p w14:paraId="3C8DA32E" w14:textId="77777777" w:rsidR="00DA3A15" w:rsidRDefault="00DA3A15" w:rsidP="000C5718">
      <w:pPr>
        <w:rPr>
          <w:lang w:val="en-US"/>
        </w:rPr>
      </w:pPr>
    </w:p>
    <w:p w14:paraId="198F4E14" w14:textId="77777777" w:rsidR="00DA3A15" w:rsidRDefault="00DA3A15" w:rsidP="000C5718">
      <w:pPr>
        <w:rPr>
          <w:lang w:val="en-US"/>
        </w:rPr>
      </w:pPr>
    </w:p>
    <w:p w14:paraId="5546487A" w14:textId="77777777" w:rsidR="00DA3A15" w:rsidRDefault="00DA3A15" w:rsidP="000C5718">
      <w:pPr>
        <w:rPr>
          <w:lang w:val="en-US"/>
        </w:rPr>
      </w:pPr>
    </w:p>
    <w:p w14:paraId="26A79755" w14:textId="77777777" w:rsidR="00DA3A15" w:rsidRDefault="00DA3A15" w:rsidP="000C5718">
      <w:pPr>
        <w:rPr>
          <w:lang w:val="en-US"/>
        </w:rPr>
      </w:pPr>
    </w:p>
    <w:p w14:paraId="79393A82" w14:textId="77777777" w:rsidR="00DA3A15" w:rsidRDefault="00DA3A15" w:rsidP="000C5718">
      <w:pPr>
        <w:rPr>
          <w:lang w:val="en-US"/>
        </w:rPr>
      </w:pPr>
    </w:p>
    <w:p w14:paraId="7C28E3EA" w14:textId="77777777" w:rsidR="00DA3A15" w:rsidRDefault="00DA3A15" w:rsidP="000C5718">
      <w:pPr>
        <w:rPr>
          <w:lang w:val="en-US"/>
        </w:rPr>
      </w:pPr>
    </w:p>
    <w:p w14:paraId="25388329" w14:textId="77777777" w:rsidR="00DA3A15" w:rsidRDefault="00DA3A15" w:rsidP="000C5718">
      <w:pPr>
        <w:rPr>
          <w:lang w:val="en-US"/>
        </w:rPr>
      </w:pPr>
    </w:p>
    <w:p w14:paraId="6C7DFCA8" w14:textId="77777777" w:rsidR="00DA3A15" w:rsidRDefault="00DA3A15" w:rsidP="000C5718">
      <w:pPr>
        <w:rPr>
          <w:lang w:val="en-US"/>
        </w:rPr>
      </w:pPr>
    </w:p>
    <w:p w14:paraId="5429978D" w14:textId="77777777" w:rsidR="00DA3A15" w:rsidRDefault="00DA3A15" w:rsidP="000C5718">
      <w:pPr>
        <w:rPr>
          <w:lang w:val="en-US"/>
        </w:rPr>
      </w:pPr>
    </w:p>
    <w:p w14:paraId="7635F9AD" w14:textId="77777777" w:rsidR="00DA3A15" w:rsidRDefault="00DA3A15" w:rsidP="000C5718">
      <w:pPr>
        <w:rPr>
          <w:lang w:val="en-US"/>
        </w:rPr>
      </w:pPr>
    </w:p>
    <w:p w14:paraId="2EF84582" w14:textId="77777777" w:rsidR="00DA3A15" w:rsidRDefault="00DA3A15" w:rsidP="000C5718">
      <w:pPr>
        <w:rPr>
          <w:lang w:val="en-US"/>
        </w:rPr>
      </w:pPr>
    </w:p>
    <w:p w14:paraId="68B312B3" w14:textId="77777777" w:rsidR="00DA3A15" w:rsidRDefault="00DA3A15" w:rsidP="000C5718">
      <w:pPr>
        <w:rPr>
          <w:lang w:val="en-US"/>
        </w:rPr>
      </w:pPr>
    </w:p>
    <w:p w14:paraId="36EDE730" w14:textId="77777777" w:rsidR="00DA3A15" w:rsidRDefault="00DA3A15" w:rsidP="000C5718">
      <w:pPr>
        <w:rPr>
          <w:lang w:val="en-US"/>
        </w:rPr>
      </w:pPr>
    </w:p>
    <w:p w14:paraId="057414B5" w14:textId="77777777" w:rsidR="00DA3A15" w:rsidRDefault="00DA3A15" w:rsidP="000C5718">
      <w:pPr>
        <w:rPr>
          <w:lang w:val="en-US"/>
        </w:rPr>
      </w:pPr>
    </w:p>
    <w:p w14:paraId="4673FEE0" w14:textId="77777777" w:rsidR="00DA3A15" w:rsidRDefault="00DA3A15" w:rsidP="000C5718">
      <w:pPr>
        <w:rPr>
          <w:lang w:val="en-US"/>
        </w:rPr>
      </w:pPr>
    </w:p>
    <w:p w14:paraId="55B6EDC7" w14:textId="77777777" w:rsidR="00DA3A15" w:rsidRDefault="00DA3A15" w:rsidP="000C5718">
      <w:pPr>
        <w:rPr>
          <w:lang w:val="en-US"/>
        </w:rPr>
      </w:pPr>
    </w:p>
    <w:p w14:paraId="7F5C90DC" w14:textId="77777777" w:rsidR="00DA3A15" w:rsidRDefault="00DA3A15" w:rsidP="000C5718">
      <w:pPr>
        <w:rPr>
          <w:lang w:val="en-US"/>
        </w:rPr>
      </w:pPr>
    </w:p>
    <w:p w14:paraId="1363C772" w14:textId="77777777" w:rsidR="00DA3A15" w:rsidRDefault="00DA3A15" w:rsidP="000C5718">
      <w:pPr>
        <w:rPr>
          <w:lang w:val="en-US"/>
        </w:rPr>
      </w:pPr>
    </w:p>
    <w:p w14:paraId="3C4F0ADF" w14:textId="77777777" w:rsidR="00DA3A15" w:rsidRDefault="00DA3A15" w:rsidP="000C5718">
      <w:pPr>
        <w:rPr>
          <w:lang w:val="en-US"/>
        </w:rPr>
      </w:pPr>
    </w:p>
    <w:p w14:paraId="042BC35F" w14:textId="77777777" w:rsidR="00DA3A15" w:rsidRDefault="00DA3A15" w:rsidP="000C5718">
      <w:pPr>
        <w:rPr>
          <w:lang w:val="en-US"/>
        </w:rPr>
      </w:pPr>
    </w:p>
    <w:p w14:paraId="0464399F" w14:textId="77777777" w:rsidR="00DA3A15" w:rsidRDefault="00DA3A15" w:rsidP="000C5718">
      <w:pPr>
        <w:rPr>
          <w:lang w:val="en-US"/>
        </w:rPr>
      </w:pPr>
    </w:p>
    <w:p w14:paraId="5CF0ED66" w14:textId="77777777" w:rsidR="00DA3A15" w:rsidRDefault="00DA3A15" w:rsidP="000C5718">
      <w:pPr>
        <w:rPr>
          <w:lang w:val="en-US"/>
        </w:rPr>
      </w:pPr>
    </w:p>
    <w:p w14:paraId="34F7AB43" w14:textId="77777777" w:rsidR="00DA3A15" w:rsidRDefault="00DA3A15" w:rsidP="000C5718">
      <w:pPr>
        <w:rPr>
          <w:lang w:val="en-US"/>
        </w:rPr>
      </w:pPr>
    </w:p>
    <w:p w14:paraId="350DD5D4" w14:textId="77777777" w:rsidR="00DA3A15" w:rsidRDefault="00DA3A15" w:rsidP="00DA3A15">
      <w:pPr>
        <w:pStyle w:val="NormalWeb"/>
        <w:rPr>
          <w:rFonts w:ascii="Arial" w:hAnsi="Arial" w:cs="Arial"/>
          <w:b/>
          <w:bCs/>
          <w:color w:val="000000"/>
          <w:sz w:val="20"/>
          <w:szCs w:val="20"/>
        </w:rPr>
      </w:pPr>
      <w:bookmarkStart w:id="1" w:name="OLE_LINK20"/>
      <w:bookmarkStart w:id="2" w:name="_Hlk141830185"/>
      <w:r>
        <w:rPr>
          <w:rFonts w:ascii="Arial" w:hAnsi="Arial" w:cs="Arial"/>
          <w:b/>
          <w:bCs/>
          <w:color w:val="000000"/>
          <w:sz w:val="20"/>
          <w:szCs w:val="20"/>
        </w:rPr>
        <w:lastRenderedPageBreak/>
        <w:t>Issuance of PPIs to Foreign Nationals / Non-Resident Indians (NRIs) visiting India</w:t>
      </w:r>
    </w:p>
    <w:bookmarkEnd w:id="1"/>
    <w:p w14:paraId="6ED0EF4B" w14:textId="77777777" w:rsidR="00DA3A15" w:rsidRDefault="00DA3A15" w:rsidP="00DA3A15">
      <w:pPr>
        <w:pStyle w:val="NormalWeb"/>
        <w:jc w:val="both"/>
        <w:rPr>
          <w:rFonts w:ascii="Arial" w:hAnsi="Arial" w:cs="Arial"/>
          <w:color w:val="000000"/>
          <w:sz w:val="20"/>
          <w:szCs w:val="20"/>
        </w:rPr>
      </w:pPr>
      <w:r>
        <w:rPr>
          <w:rFonts w:ascii="Arial" w:hAnsi="Arial" w:cs="Arial"/>
          <w:color w:val="000000"/>
          <w:sz w:val="20"/>
          <w:szCs w:val="20"/>
        </w:rPr>
        <w:t>RBI/2022-23/176</w:t>
      </w:r>
      <w:r>
        <w:rPr>
          <w:rFonts w:ascii="Arial" w:hAnsi="Arial" w:cs="Arial"/>
          <w:color w:val="000000"/>
          <w:sz w:val="20"/>
          <w:szCs w:val="20"/>
        </w:rPr>
        <w:br/>
      </w:r>
      <w:proofErr w:type="spellStart"/>
      <w:r>
        <w:rPr>
          <w:rFonts w:ascii="Arial" w:hAnsi="Arial" w:cs="Arial"/>
          <w:color w:val="000000"/>
          <w:sz w:val="20"/>
          <w:szCs w:val="20"/>
        </w:rPr>
        <w:t>CO.DPSS.POLC.No.S</w:t>
      </w:r>
      <w:proofErr w:type="spellEnd"/>
      <w:r>
        <w:rPr>
          <w:rFonts w:ascii="Arial" w:hAnsi="Arial" w:cs="Arial"/>
          <w:color w:val="000000"/>
          <w:sz w:val="20"/>
          <w:szCs w:val="20"/>
        </w:rPr>
        <w:t>–1907/02.14.006/2022-23</w:t>
      </w:r>
    </w:p>
    <w:p w14:paraId="607902CF" w14:textId="77777777" w:rsidR="00DA3A15" w:rsidRDefault="00DA3A15" w:rsidP="00DA3A15">
      <w:pPr>
        <w:pStyle w:val="NormalWeb"/>
        <w:jc w:val="right"/>
        <w:rPr>
          <w:rFonts w:ascii="Arial" w:hAnsi="Arial" w:cs="Arial"/>
          <w:color w:val="000000"/>
          <w:sz w:val="20"/>
          <w:szCs w:val="20"/>
        </w:rPr>
      </w:pPr>
      <w:r>
        <w:rPr>
          <w:rFonts w:ascii="Arial" w:hAnsi="Arial" w:cs="Arial"/>
          <w:color w:val="000000"/>
          <w:sz w:val="20"/>
          <w:szCs w:val="20"/>
        </w:rPr>
        <w:t>February 10, 2023</w:t>
      </w:r>
    </w:p>
    <w:p w14:paraId="1D6DB510" w14:textId="77777777" w:rsidR="00DA3A15" w:rsidRDefault="00DA3A15" w:rsidP="00DA3A15">
      <w:pPr>
        <w:pStyle w:val="NormalWeb"/>
        <w:rPr>
          <w:rFonts w:ascii="Arial" w:hAnsi="Arial" w:cs="Arial"/>
          <w:color w:val="000000"/>
          <w:sz w:val="20"/>
          <w:szCs w:val="20"/>
        </w:rPr>
      </w:pPr>
      <w:r>
        <w:rPr>
          <w:rFonts w:ascii="Arial" w:hAnsi="Arial" w:cs="Arial"/>
          <w:color w:val="000000"/>
          <w:sz w:val="20"/>
          <w:szCs w:val="20"/>
        </w:rPr>
        <w:t>All Prepaid Payment Instrument (PPI) Issuers (Banks and Non-banks)</w:t>
      </w:r>
      <w:r>
        <w:rPr>
          <w:rFonts w:ascii="Arial" w:hAnsi="Arial" w:cs="Arial"/>
          <w:color w:val="000000"/>
          <w:sz w:val="20"/>
          <w:szCs w:val="20"/>
        </w:rPr>
        <w:br/>
        <w:t>and National Payments Corporation of India (NPCI)</w:t>
      </w:r>
    </w:p>
    <w:p w14:paraId="14C7F5F1" w14:textId="77777777" w:rsidR="00DA3A15" w:rsidRDefault="00DA3A15" w:rsidP="00DA3A15">
      <w:pPr>
        <w:pStyle w:val="NormalWeb"/>
        <w:jc w:val="both"/>
        <w:rPr>
          <w:rFonts w:ascii="Arial" w:hAnsi="Arial" w:cs="Arial"/>
          <w:color w:val="000000"/>
          <w:sz w:val="20"/>
          <w:szCs w:val="20"/>
        </w:rPr>
      </w:pPr>
      <w:r>
        <w:rPr>
          <w:rFonts w:ascii="Arial" w:hAnsi="Arial" w:cs="Arial"/>
          <w:color w:val="000000"/>
          <w:sz w:val="20"/>
          <w:szCs w:val="20"/>
        </w:rPr>
        <w:t>Madam / Dear Sir,</w:t>
      </w:r>
    </w:p>
    <w:p w14:paraId="5632CAD5" w14:textId="77777777" w:rsidR="00DA3A15" w:rsidRDefault="00DA3A15" w:rsidP="00DA3A15">
      <w:pPr>
        <w:pStyle w:val="head"/>
        <w:jc w:val="center"/>
        <w:rPr>
          <w:rFonts w:ascii="Arial" w:hAnsi="Arial" w:cs="Arial"/>
          <w:b/>
          <w:bCs/>
          <w:color w:val="000000"/>
          <w:sz w:val="20"/>
          <w:szCs w:val="20"/>
        </w:rPr>
      </w:pPr>
      <w:r>
        <w:rPr>
          <w:rFonts w:ascii="Arial" w:hAnsi="Arial" w:cs="Arial"/>
          <w:b/>
          <w:bCs/>
          <w:color w:val="000000"/>
          <w:sz w:val="20"/>
          <w:szCs w:val="20"/>
        </w:rPr>
        <w:t>Issuance of PPIs to Foreign Nationals / Non-Resident Indians (NRIs) visiting India</w:t>
      </w:r>
    </w:p>
    <w:p w14:paraId="759C34A1" w14:textId="77777777" w:rsidR="00DA3A15" w:rsidRDefault="00DA3A15" w:rsidP="00DA3A15">
      <w:pPr>
        <w:pStyle w:val="NormalWeb"/>
        <w:jc w:val="both"/>
        <w:rPr>
          <w:rFonts w:ascii="Arial" w:hAnsi="Arial" w:cs="Arial"/>
          <w:color w:val="000000"/>
          <w:sz w:val="20"/>
          <w:szCs w:val="20"/>
        </w:rPr>
      </w:pPr>
      <w:r>
        <w:rPr>
          <w:rFonts w:ascii="Arial" w:hAnsi="Arial" w:cs="Arial"/>
          <w:color w:val="000000"/>
          <w:sz w:val="20"/>
          <w:szCs w:val="20"/>
        </w:rPr>
        <w:t>As announced in the </w:t>
      </w:r>
      <w:hyperlink r:id="rId4" w:tgtFrame="_blank" w:history="1">
        <w:r>
          <w:rPr>
            <w:rStyle w:val="Hyperlink"/>
            <w:rFonts w:ascii="Arial" w:hAnsi="Arial" w:cs="Arial"/>
            <w:sz w:val="20"/>
            <w:szCs w:val="20"/>
          </w:rPr>
          <w:t>Statement on Developmental and Regulatory Policies dated February 08, 2023</w:t>
        </w:r>
      </w:hyperlink>
      <w:r>
        <w:rPr>
          <w:rFonts w:ascii="Arial" w:hAnsi="Arial" w:cs="Arial"/>
          <w:color w:val="000000"/>
          <w:sz w:val="20"/>
          <w:szCs w:val="20"/>
        </w:rPr>
        <w:t>, it has been decided to allow access to Unified Payments Interface (UPI) to foreign nationals and NRIs visiting India. To start with, this facility will be extended to travellers from the G-20 countries at select international airports for their merchant payments (P2M) while they are in the country. Going forward, this will be enabled across all entry points in the country. The </w:t>
      </w:r>
      <w:hyperlink r:id="rId5" w:tgtFrame="_blank" w:history="1">
        <w:r>
          <w:rPr>
            <w:rStyle w:val="Hyperlink"/>
            <w:rFonts w:ascii="Arial" w:hAnsi="Arial" w:cs="Arial"/>
            <w:sz w:val="20"/>
            <w:szCs w:val="20"/>
          </w:rPr>
          <w:t>Master Directions on Prepaid Payment Instruments (PPIs) dated August 27, 2021</w:t>
        </w:r>
      </w:hyperlink>
      <w:r>
        <w:rPr>
          <w:rFonts w:ascii="Arial" w:hAnsi="Arial" w:cs="Arial"/>
          <w:color w:val="000000"/>
          <w:sz w:val="20"/>
          <w:szCs w:val="20"/>
        </w:rPr>
        <w:t> (updated as on November 12, 2021) has been updated by inserting </w:t>
      </w:r>
      <w:hyperlink r:id="rId6" w:anchor="PARA103" w:tgtFrame="_blank" w:history="1">
        <w:r>
          <w:rPr>
            <w:rStyle w:val="Hyperlink"/>
            <w:rFonts w:ascii="Arial" w:hAnsi="Arial" w:cs="Arial"/>
            <w:sz w:val="20"/>
            <w:szCs w:val="20"/>
          </w:rPr>
          <w:t>paragraph 10.3</w:t>
        </w:r>
      </w:hyperlink>
      <w:r>
        <w:rPr>
          <w:rFonts w:ascii="Arial" w:hAnsi="Arial" w:cs="Arial"/>
          <w:color w:val="000000"/>
          <w:sz w:val="20"/>
          <w:szCs w:val="20"/>
        </w:rPr>
        <w:t> therein.</w:t>
      </w:r>
    </w:p>
    <w:p w14:paraId="049BE9DF" w14:textId="77777777" w:rsidR="00DA3A15" w:rsidRDefault="00DA3A15" w:rsidP="00DA3A15">
      <w:pPr>
        <w:pStyle w:val="NormalWeb"/>
        <w:jc w:val="both"/>
        <w:rPr>
          <w:rFonts w:ascii="Arial" w:hAnsi="Arial" w:cs="Arial"/>
          <w:color w:val="000000"/>
          <w:sz w:val="20"/>
          <w:szCs w:val="20"/>
        </w:rPr>
      </w:pPr>
      <w:r>
        <w:rPr>
          <w:rFonts w:ascii="Arial" w:hAnsi="Arial" w:cs="Arial"/>
          <w:color w:val="000000"/>
          <w:sz w:val="20"/>
          <w:szCs w:val="20"/>
        </w:rPr>
        <w:t>2. These instructions shall come into effect immediately.</w:t>
      </w:r>
    </w:p>
    <w:p w14:paraId="6C67BA58" w14:textId="77777777" w:rsidR="00DA3A15" w:rsidRDefault="00DA3A15" w:rsidP="00DA3A15">
      <w:pPr>
        <w:pStyle w:val="NormalWeb"/>
        <w:jc w:val="both"/>
        <w:rPr>
          <w:rFonts w:ascii="Arial" w:hAnsi="Arial" w:cs="Arial"/>
          <w:color w:val="000000"/>
          <w:sz w:val="20"/>
          <w:szCs w:val="20"/>
        </w:rPr>
      </w:pPr>
      <w:r>
        <w:rPr>
          <w:rFonts w:ascii="Arial" w:hAnsi="Arial" w:cs="Arial"/>
          <w:color w:val="000000"/>
          <w:sz w:val="20"/>
          <w:szCs w:val="20"/>
        </w:rPr>
        <w:t>3. This circular is issued under Section 10 (2) read with Section 18 of the Payment and Settlement Systems Act, 2007 (Act 51 of 2007).</w:t>
      </w:r>
    </w:p>
    <w:p w14:paraId="6264B3DC" w14:textId="77777777" w:rsidR="00DA3A15" w:rsidRDefault="00DA3A15" w:rsidP="00DA3A15">
      <w:pPr>
        <w:pStyle w:val="NormalWeb"/>
        <w:jc w:val="both"/>
        <w:rPr>
          <w:rFonts w:ascii="Arial" w:hAnsi="Arial" w:cs="Arial"/>
          <w:color w:val="000000"/>
          <w:sz w:val="20"/>
          <w:szCs w:val="20"/>
        </w:rPr>
      </w:pPr>
      <w:r>
        <w:rPr>
          <w:rFonts w:ascii="Arial" w:hAnsi="Arial" w:cs="Arial"/>
          <w:color w:val="000000"/>
          <w:sz w:val="20"/>
          <w:szCs w:val="20"/>
        </w:rPr>
        <w:t>Yours faithfully,</w:t>
      </w:r>
    </w:p>
    <w:p w14:paraId="4C54DC5B" w14:textId="77777777" w:rsidR="00DA3A15" w:rsidRDefault="00DA3A15" w:rsidP="00DA3A15">
      <w:pPr>
        <w:pStyle w:val="NormalWeb"/>
        <w:rPr>
          <w:rFonts w:ascii="Arial" w:hAnsi="Arial" w:cs="Arial"/>
          <w:color w:val="000000"/>
          <w:sz w:val="20"/>
          <w:szCs w:val="20"/>
        </w:rPr>
      </w:pPr>
      <w:r>
        <w:rPr>
          <w:rFonts w:ascii="Arial" w:hAnsi="Arial" w:cs="Arial"/>
          <w:color w:val="000000"/>
          <w:sz w:val="20"/>
          <w:szCs w:val="20"/>
        </w:rPr>
        <w:t>(P Vasudevan)</w:t>
      </w:r>
      <w:r>
        <w:rPr>
          <w:rFonts w:ascii="Arial" w:hAnsi="Arial" w:cs="Arial"/>
          <w:color w:val="000000"/>
          <w:sz w:val="20"/>
          <w:szCs w:val="20"/>
        </w:rPr>
        <w:br/>
        <w:t>Chief General Manager</w:t>
      </w:r>
    </w:p>
    <w:p w14:paraId="6E967C4D" w14:textId="77777777" w:rsidR="00DA3A15" w:rsidRDefault="00DA3A15" w:rsidP="00DA3A15">
      <w:pPr>
        <w:pStyle w:val="NormalWeb"/>
        <w:rPr>
          <w:rFonts w:ascii="Arial" w:hAnsi="Arial" w:cs="Arial"/>
          <w:color w:val="000000"/>
          <w:sz w:val="20"/>
          <w:szCs w:val="20"/>
        </w:rPr>
      </w:pPr>
    </w:p>
    <w:p w14:paraId="1E2B8FBC" w14:textId="77777777" w:rsidR="00DA3A15" w:rsidRDefault="00DA3A15" w:rsidP="00DA3A15">
      <w:r>
        <w:t>More details can be referred to in the below link.</w:t>
      </w:r>
    </w:p>
    <w:p w14:paraId="0835D938" w14:textId="77777777" w:rsidR="00DA3A15" w:rsidRDefault="00DA3A15" w:rsidP="00DA3A15">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7" w:history="1">
        <w:r w:rsidRPr="005F425E">
          <w:rPr>
            <w:rStyle w:val="Hyperlink"/>
            <w:rFonts w:ascii="Arial" w:hAnsi="Arial" w:cs="Arial"/>
            <w:bCs/>
            <w:sz w:val="20"/>
            <w:szCs w:val="20"/>
          </w:rPr>
          <w:t>https://rbi.org.in/Scripts/NotificationUser.aspx?Id=12452&amp;Mode=0</w:t>
        </w:r>
      </w:hyperlink>
    </w:p>
    <w:p w14:paraId="14DAFC7C" w14:textId="77777777" w:rsidR="00DA3A15" w:rsidRDefault="00DA3A15" w:rsidP="00DA3A15">
      <w:pPr>
        <w:pStyle w:val="NormalWeb"/>
        <w:rPr>
          <w:b/>
        </w:rPr>
      </w:pPr>
    </w:p>
    <w:p w14:paraId="3014CAEF" w14:textId="77777777" w:rsidR="00DA3A15" w:rsidRDefault="00DA3A15" w:rsidP="00DA3A15">
      <w:pPr>
        <w:pStyle w:val="NormalWeb"/>
        <w:rPr>
          <w:b/>
        </w:rPr>
      </w:pPr>
    </w:p>
    <w:p w14:paraId="28B9FAE8" w14:textId="77777777" w:rsidR="00DA3A15" w:rsidRDefault="00DA3A15" w:rsidP="00DA3A15">
      <w:pPr>
        <w:pStyle w:val="NormalWeb"/>
        <w:rPr>
          <w:b/>
        </w:rPr>
      </w:pPr>
    </w:p>
    <w:p w14:paraId="01DB6616" w14:textId="77777777" w:rsidR="00DA3A15" w:rsidRDefault="00DA3A15" w:rsidP="00DA3A15">
      <w:pPr>
        <w:pStyle w:val="NormalWeb"/>
        <w:rPr>
          <w:b/>
        </w:rPr>
      </w:pPr>
    </w:p>
    <w:p w14:paraId="58E7F843" w14:textId="77777777" w:rsidR="00DA3A15" w:rsidRDefault="00DA3A15" w:rsidP="00DA3A15">
      <w:pPr>
        <w:pStyle w:val="NormalWeb"/>
        <w:rPr>
          <w:b/>
        </w:rPr>
      </w:pPr>
    </w:p>
    <w:p w14:paraId="562C0ADE" w14:textId="77777777" w:rsidR="00DA3A15" w:rsidRDefault="00DA3A15" w:rsidP="00DA3A15">
      <w:pPr>
        <w:pStyle w:val="NormalWeb"/>
        <w:rPr>
          <w:b/>
        </w:rPr>
      </w:pPr>
    </w:p>
    <w:p w14:paraId="72A9C009" w14:textId="77777777" w:rsidR="00DA3A15" w:rsidRDefault="00DA3A15" w:rsidP="00DA3A15">
      <w:pPr>
        <w:pStyle w:val="NormalWeb"/>
        <w:rPr>
          <w:b/>
        </w:rPr>
      </w:pPr>
    </w:p>
    <w:bookmarkEnd w:id="2"/>
    <w:p w14:paraId="5A7E2993" w14:textId="77777777" w:rsidR="00DA3A15" w:rsidRDefault="00DA3A15" w:rsidP="000C5718">
      <w:pPr>
        <w:rPr>
          <w:lang w:val="en-US"/>
        </w:rPr>
      </w:pPr>
    </w:p>
    <w:p w14:paraId="2FB582CA" w14:textId="77777777" w:rsidR="00DA3A15" w:rsidRDefault="00DA3A15" w:rsidP="00DA3A15">
      <w:pPr>
        <w:pStyle w:val="NormalWeb"/>
        <w:rPr>
          <w:rFonts w:ascii="Arial" w:hAnsi="Arial" w:cs="Arial"/>
          <w:b/>
          <w:bCs/>
          <w:color w:val="000000"/>
          <w:sz w:val="20"/>
          <w:szCs w:val="20"/>
        </w:rPr>
      </w:pPr>
      <w:bookmarkStart w:id="3" w:name="OLE_LINK22"/>
      <w:bookmarkStart w:id="4" w:name="_Hlk141825690"/>
      <w:r>
        <w:rPr>
          <w:rFonts w:ascii="Arial" w:hAnsi="Arial" w:cs="Arial"/>
          <w:b/>
          <w:bCs/>
          <w:color w:val="000000"/>
          <w:sz w:val="20"/>
          <w:szCs w:val="20"/>
        </w:rPr>
        <w:lastRenderedPageBreak/>
        <w:t>Introduction of Foreign Contribution (Regulation) Act (FCRA) related transaction code in NEFT and RTGS Systems</w:t>
      </w:r>
    </w:p>
    <w:bookmarkEnd w:id="3"/>
    <w:p w14:paraId="61674DD5" w14:textId="77777777" w:rsidR="00DA3A15" w:rsidRDefault="00DA3A15" w:rsidP="00DA3A15">
      <w:pPr>
        <w:pStyle w:val="NormalWeb"/>
        <w:jc w:val="both"/>
        <w:rPr>
          <w:rFonts w:ascii="Arial" w:hAnsi="Arial" w:cs="Arial"/>
          <w:color w:val="000000"/>
          <w:sz w:val="20"/>
          <w:szCs w:val="20"/>
        </w:rPr>
      </w:pPr>
      <w:r>
        <w:rPr>
          <w:rFonts w:ascii="Arial" w:hAnsi="Arial" w:cs="Arial"/>
          <w:color w:val="000000"/>
          <w:sz w:val="20"/>
          <w:szCs w:val="20"/>
        </w:rPr>
        <w:t>RBI/2022-23/178</w:t>
      </w:r>
      <w:r>
        <w:rPr>
          <w:rFonts w:ascii="Arial" w:hAnsi="Arial" w:cs="Arial"/>
          <w:color w:val="000000"/>
          <w:sz w:val="20"/>
          <w:szCs w:val="20"/>
        </w:rPr>
        <w:br/>
        <w:t>CO.DPSS.RPPD.No.S1931/04-03-001/2022-23</w:t>
      </w:r>
    </w:p>
    <w:p w14:paraId="5321C509" w14:textId="77777777" w:rsidR="00DA3A15" w:rsidRDefault="00DA3A15" w:rsidP="00DA3A15">
      <w:pPr>
        <w:pStyle w:val="NormalWeb"/>
        <w:jc w:val="right"/>
        <w:rPr>
          <w:rFonts w:ascii="Arial" w:hAnsi="Arial" w:cs="Arial"/>
          <w:color w:val="000000"/>
          <w:sz w:val="20"/>
          <w:szCs w:val="20"/>
        </w:rPr>
      </w:pPr>
      <w:r>
        <w:rPr>
          <w:rFonts w:ascii="Arial" w:hAnsi="Arial" w:cs="Arial"/>
          <w:color w:val="000000"/>
          <w:sz w:val="20"/>
          <w:szCs w:val="20"/>
        </w:rPr>
        <w:t>February 16, 2023</w:t>
      </w:r>
    </w:p>
    <w:p w14:paraId="5190D03F" w14:textId="77777777" w:rsidR="00DA3A15" w:rsidRDefault="00DA3A15" w:rsidP="00DA3A15">
      <w:pPr>
        <w:pStyle w:val="NormalWeb"/>
        <w:rPr>
          <w:rFonts w:ascii="Arial" w:hAnsi="Arial" w:cs="Arial"/>
          <w:color w:val="000000"/>
          <w:sz w:val="20"/>
          <w:szCs w:val="20"/>
        </w:rPr>
      </w:pPr>
      <w:r>
        <w:rPr>
          <w:rFonts w:ascii="Arial" w:hAnsi="Arial" w:cs="Arial"/>
          <w:color w:val="000000"/>
          <w:sz w:val="20"/>
          <w:szCs w:val="20"/>
        </w:rPr>
        <w:t>The Chairman / Managing Director / Chief Executive Officer</w:t>
      </w:r>
      <w:r>
        <w:rPr>
          <w:rFonts w:ascii="Arial" w:hAnsi="Arial" w:cs="Arial"/>
          <w:color w:val="000000"/>
          <w:sz w:val="20"/>
          <w:szCs w:val="20"/>
        </w:rPr>
        <w:br/>
        <w:t>of member banks participating in NEFT and RTGS Systems</w:t>
      </w:r>
    </w:p>
    <w:p w14:paraId="3B91E2E5" w14:textId="77777777" w:rsidR="00DA3A15" w:rsidRDefault="00DA3A15" w:rsidP="00DA3A15">
      <w:pPr>
        <w:pStyle w:val="NormalWeb"/>
        <w:jc w:val="both"/>
        <w:rPr>
          <w:rFonts w:ascii="Arial" w:hAnsi="Arial" w:cs="Arial"/>
          <w:color w:val="000000"/>
          <w:sz w:val="20"/>
          <w:szCs w:val="20"/>
        </w:rPr>
      </w:pPr>
      <w:r>
        <w:rPr>
          <w:rFonts w:ascii="Arial" w:hAnsi="Arial" w:cs="Arial"/>
          <w:color w:val="000000"/>
          <w:sz w:val="20"/>
          <w:szCs w:val="20"/>
        </w:rPr>
        <w:t>Madam / Dear Sir,</w:t>
      </w:r>
    </w:p>
    <w:p w14:paraId="66BA3525" w14:textId="77777777" w:rsidR="00DA3A15" w:rsidRDefault="00DA3A15" w:rsidP="00DA3A15">
      <w:pPr>
        <w:pStyle w:val="head"/>
        <w:jc w:val="both"/>
        <w:rPr>
          <w:rFonts w:ascii="Arial" w:hAnsi="Arial" w:cs="Arial"/>
          <w:b/>
          <w:bCs/>
          <w:color w:val="000000"/>
          <w:sz w:val="20"/>
          <w:szCs w:val="20"/>
        </w:rPr>
      </w:pPr>
      <w:r>
        <w:rPr>
          <w:rFonts w:ascii="Arial" w:hAnsi="Arial" w:cs="Arial"/>
          <w:b/>
          <w:bCs/>
          <w:color w:val="000000"/>
          <w:sz w:val="20"/>
          <w:szCs w:val="20"/>
        </w:rPr>
        <w:t>Introduction of Foreign Contribution (Regulation) Act (FCRA) related transaction code in NEFT and RTGS Systems</w:t>
      </w:r>
    </w:p>
    <w:p w14:paraId="1095B100" w14:textId="77777777" w:rsidR="00DA3A15" w:rsidRDefault="00DA3A15" w:rsidP="00DA3A15">
      <w:pPr>
        <w:pStyle w:val="NormalWeb"/>
        <w:jc w:val="both"/>
        <w:rPr>
          <w:rFonts w:ascii="Arial" w:hAnsi="Arial" w:cs="Arial"/>
          <w:color w:val="000000"/>
          <w:sz w:val="20"/>
          <w:szCs w:val="20"/>
        </w:rPr>
      </w:pPr>
      <w:r>
        <w:rPr>
          <w:rFonts w:ascii="Arial" w:hAnsi="Arial" w:cs="Arial"/>
          <w:color w:val="000000"/>
          <w:sz w:val="20"/>
          <w:szCs w:val="20"/>
        </w:rPr>
        <w:t>Under the FCRA, 2010 (amended as on September 28, 2020), foreign contributions must be received only in the “FCRA account” of State Bank of India (SBI), New Delhi Main Branch (NDMB). The contributions to the FCRA account are received directly from foreign banks through SWIFT and from Indian intermediary banks through NEFT and RTGS systems.</w:t>
      </w:r>
    </w:p>
    <w:p w14:paraId="59B3F755" w14:textId="77777777" w:rsidR="00DA3A15" w:rsidRDefault="00DA3A15" w:rsidP="00DA3A15">
      <w:pPr>
        <w:pStyle w:val="NormalWeb"/>
        <w:jc w:val="both"/>
        <w:rPr>
          <w:rFonts w:ascii="Arial" w:hAnsi="Arial" w:cs="Arial"/>
          <w:color w:val="000000"/>
          <w:sz w:val="20"/>
          <w:szCs w:val="20"/>
        </w:rPr>
      </w:pPr>
      <w:r>
        <w:rPr>
          <w:rFonts w:ascii="Arial" w:hAnsi="Arial" w:cs="Arial"/>
          <w:color w:val="000000"/>
          <w:sz w:val="20"/>
          <w:szCs w:val="20"/>
        </w:rPr>
        <w:t>2. In terms of extant requirements of Ministry of Home Affairs (MHA), Government of India, the donor details such as name, address, country of origin, amount, currency, and purpose of remittance are required to be captured in such transactions and SBI is required to report the same to MHA on daily basis.</w:t>
      </w:r>
    </w:p>
    <w:p w14:paraId="682469C5" w14:textId="77777777" w:rsidR="00DA3A15" w:rsidRDefault="00DA3A15" w:rsidP="00DA3A15">
      <w:pPr>
        <w:pStyle w:val="NormalWeb"/>
        <w:jc w:val="both"/>
        <w:rPr>
          <w:rFonts w:ascii="Arial" w:hAnsi="Arial" w:cs="Arial"/>
          <w:color w:val="000000"/>
          <w:sz w:val="20"/>
          <w:szCs w:val="20"/>
        </w:rPr>
      </w:pPr>
      <w:r>
        <w:rPr>
          <w:rFonts w:ascii="Arial" w:hAnsi="Arial" w:cs="Arial"/>
          <w:color w:val="000000"/>
          <w:sz w:val="20"/>
          <w:szCs w:val="20"/>
        </w:rPr>
        <w:t>3. Keeping in view the above, necessary changes have been introduced in NEFT and RTGS systems, technical details of which are provided in </w:t>
      </w:r>
      <w:hyperlink r:id="rId8" w:anchor="AN1" w:history="1">
        <w:r>
          <w:rPr>
            <w:rStyle w:val="Hyperlink"/>
            <w:rFonts w:ascii="Arial" w:hAnsi="Arial" w:cs="Arial"/>
            <w:sz w:val="20"/>
            <w:szCs w:val="20"/>
          </w:rPr>
          <w:t>Annex</w:t>
        </w:r>
      </w:hyperlink>
      <w:r>
        <w:rPr>
          <w:rFonts w:ascii="Arial" w:hAnsi="Arial" w:cs="Arial"/>
          <w:color w:val="000000"/>
          <w:sz w:val="20"/>
          <w:szCs w:val="20"/>
        </w:rPr>
        <w:t>. Member banks are advised to incorporate necessary changes in their core banking / middleware solutions to capture the requisite details while forwarding the foreign donations through NEFT and RTGS systems to SBI. The instructions will be effective from March 15, 2023.</w:t>
      </w:r>
    </w:p>
    <w:p w14:paraId="57FA8800" w14:textId="77777777" w:rsidR="00DA3A15" w:rsidRDefault="00DA3A15" w:rsidP="00DA3A15">
      <w:pPr>
        <w:pStyle w:val="NormalWeb"/>
        <w:jc w:val="both"/>
        <w:rPr>
          <w:rFonts w:ascii="Arial" w:hAnsi="Arial" w:cs="Arial"/>
          <w:color w:val="000000"/>
          <w:sz w:val="20"/>
          <w:szCs w:val="20"/>
        </w:rPr>
      </w:pPr>
      <w:r>
        <w:rPr>
          <w:rFonts w:ascii="Arial" w:hAnsi="Arial" w:cs="Arial"/>
          <w:color w:val="000000"/>
          <w:sz w:val="20"/>
          <w:szCs w:val="20"/>
        </w:rPr>
        <w:t>4. These instructions are issued under Section 10 (2) read with Section 18 of Payment and Settlement Systems Act, 2007 (Act 51 of 2007).</w:t>
      </w:r>
    </w:p>
    <w:p w14:paraId="4140553F" w14:textId="77777777" w:rsidR="00DA3A15" w:rsidRDefault="00DA3A15" w:rsidP="00DA3A15">
      <w:pPr>
        <w:pStyle w:val="NormalWeb"/>
        <w:jc w:val="both"/>
        <w:rPr>
          <w:rFonts w:ascii="Arial" w:hAnsi="Arial" w:cs="Arial"/>
          <w:color w:val="000000"/>
          <w:sz w:val="20"/>
          <w:szCs w:val="20"/>
        </w:rPr>
      </w:pPr>
      <w:r>
        <w:rPr>
          <w:rFonts w:ascii="Arial" w:hAnsi="Arial" w:cs="Arial"/>
          <w:color w:val="000000"/>
          <w:sz w:val="20"/>
          <w:szCs w:val="20"/>
        </w:rPr>
        <w:t>Yours faithfully,</w:t>
      </w:r>
    </w:p>
    <w:p w14:paraId="5C132548" w14:textId="77777777" w:rsidR="00DA3A15" w:rsidRDefault="00DA3A15" w:rsidP="00DA3A15">
      <w:pPr>
        <w:pStyle w:val="NormalWeb"/>
        <w:rPr>
          <w:rFonts w:ascii="Arial" w:hAnsi="Arial" w:cs="Arial"/>
          <w:color w:val="000000"/>
          <w:sz w:val="20"/>
          <w:szCs w:val="20"/>
        </w:rPr>
      </w:pPr>
      <w:r>
        <w:rPr>
          <w:rFonts w:ascii="Arial" w:hAnsi="Arial" w:cs="Arial"/>
          <w:color w:val="000000"/>
          <w:sz w:val="20"/>
          <w:szCs w:val="20"/>
        </w:rPr>
        <w:t>(P Vasudevan)</w:t>
      </w:r>
      <w:r>
        <w:rPr>
          <w:rFonts w:ascii="Arial" w:hAnsi="Arial" w:cs="Arial"/>
          <w:color w:val="000000"/>
          <w:sz w:val="20"/>
          <w:szCs w:val="20"/>
        </w:rPr>
        <w:br/>
        <w:t>Chief General Manager</w:t>
      </w:r>
    </w:p>
    <w:p w14:paraId="658A1B5D" w14:textId="77777777" w:rsidR="00DA3A15" w:rsidRDefault="00DA3A15" w:rsidP="00DA3A15">
      <w:pPr>
        <w:pStyle w:val="NormalWeb"/>
        <w:rPr>
          <w:b/>
        </w:rPr>
      </w:pPr>
    </w:p>
    <w:p w14:paraId="7E48A150" w14:textId="77777777" w:rsidR="00DA3A15" w:rsidRDefault="00DA3A15" w:rsidP="00DA3A15">
      <w:r>
        <w:t>More details can be referred to in the below link.</w:t>
      </w:r>
    </w:p>
    <w:p w14:paraId="436174CC" w14:textId="77777777" w:rsidR="00DA3A15" w:rsidRDefault="00DA3A15" w:rsidP="00DA3A15">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9" w:history="1">
        <w:r w:rsidRPr="005F425E">
          <w:rPr>
            <w:rStyle w:val="Hyperlink"/>
            <w:rFonts w:ascii="Arial" w:hAnsi="Arial" w:cs="Arial"/>
            <w:bCs/>
            <w:sz w:val="20"/>
            <w:szCs w:val="20"/>
          </w:rPr>
          <w:t>https://rbi.org.in/Scripts/NotificationUser.aspx?Id=12454&amp;Mode=0</w:t>
        </w:r>
      </w:hyperlink>
    </w:p>
    <w:p w14:paraId="0CCA7DF8" w14:textId="77777777" w:rsidR="00DA3A15" w:rsidRDefault="00DA3A15" w:rsidP="00DA3A15">
      <w:pPr>
        <w:pStyle w:val="NormalWeb"/>
        <w:rPr>
          <w:rFonts w:ascii="Arial" w:hAnsi="Arial" w:cs="Arial"/>
          <w:bCs/>
          <w:color w:val="000000"/>
          <w:sz w:val="20"/>
          <w:szCs w:val="20"/>
        </w:rPr>
      </w:pPr>
    </w:p>
    <w:p w14:paraId="4F4F4DFD" w14:textId="77777777" w:rsidR="00DA3A15" w:rsidRDefault="00DA3A15" w:rsidP="00DA3A15">
      <w:pPr>
        <w:pStyle w:val="NormalWeb"/>
        <w:rPr>
          <w:rFonts w:ascii="Arial" w:hAnsi="Arial" w:cs="Arial"/>
          <w:bCs/>
          <w:color w:val="000000"/>
          <w:sz w:val="20"/>
          <w:szCs w:val="20"/>
        </w:rPr>
      </w:pPr>
    </w:p>
    <w:p w14:paraId="306FB3E9" w14:textId="77777777" w:rsidR="00DA3A15" w:rsidRDefault="00DA3A15" w:rsidP="00DA3A15">
      <w:pPr>
        <w:pStyle w:val="NormalWeb"/>
        <w:rPr>
          <w:rFonts w:ascii="Arial" w:hAnsi="Arial" w:cs="Arial"/>
          <w:bCs/>
          <w:color w:val="000000"/>
          <w:sz w:val="20"/>
          <w:szCs w:val="20"/>
        </w:rPr>
      </w:pPr>
    </w:p>
    <w:p w14:paraId="4855B2AF" w14:textId="77777777" w:rsidR="00DA3A15" w:rsidRDefault="00DA3A15" w:rsidP="00DA3A15">
      <w:pPr>
        <w:pStyle w:val="NormalWeb"/>
        <w:rPr>
          <w:rFonts w:ascii="Arial" w:hAnsi="Arial" w:cs="Arial"/>
          <w:bCs/>
          <w:color w:val="000000"/>
          <w:sz w:val="20"/>
          <w:szCs w:val="20"/>
        </w:rPr>
      </w:pPr>
    </w:p>
    <w:bookmarkEnd w:id="4"/>
    <w:p w14:paraId="2C06547E" w14:textId="77777777" w:rsidR="00DA3A15" w:rsidRDefault="00DA3A15" w:rsidP="000C5718">
      <w:pPr>
        <w:rPr>
          <w:lang w:val="en-US"/>
        </w:rPr>
      </w:pPr>
    </w:p>
    <w:p w14:paraId="2765F167" w14:textId="77777777" w:rsidR="00DA3A15" w:rsidRDefault="00DA3A15" w:rsidP="00DA3A15">
      <w:pPr>
        <w:spacing w:after="0"/>
        <w:rPr>
          <w:rFonts w:ascii="Arial" w:hAnsi="Arial" w:cs="Arial"/>
          <w:b/>
          <w:bCs/>
          <w:color w:val="000000"/>
          <w:sz w:val="20"/>
          <w:szCs w:val="20"/>
        </w:rPr>
      </w:pPr>
      <w:bookmarkStart w:id="5" w:name="OLE_LINK55"/>
      <w:bookmarkStart w:id="6" w:name="_Hlk141829216"/>
      <w:bookmarkStart w:id="7" w:name="_Hlk141830231"/>
      <w:r>
        <w:rPr>
          <w:rFonts w:ascii="Arial" w:hAnsi="Arial" w:cs="Arial"/>
          <w:b/>
          <w:bCs/>
          <w:color w:val="000000"/>
          <w:sz w:val="20"/>
          <w:szCs w:val="20"/>
        </w:rPr>
        <w:lastRenderedPageBreak/>
        <w:t>Master Direction on Outsourcing of Information Technology Services</w:t>
      </w:r>
    </w:p>
    <w:bookmarkEnd w:id="5"/>
    <w:p w14:paraId="0CEAD1B1" w14:textId="77777777" w:rsidR="00DA3A15" w:rsidRDefault="00DA3A15" w:rsidP="00DA3A15">
      <w:pPr>
        <w:pStyle w:val="NormalWeb"/>
        <w:jc w:val="both"/>
        <w:rPr>
          <w:rFonts w:ascii="Arial" w:hAnsi="Arial" w:cs="Arial"/>
          <w:color w:val="000000"/>
          <w:sz w:val="20"/>
          <w:szCs w:val="20"/>
        </w:rPr>
      </w:pPr>
      <w:r>
        <w:rPr>
          <w:rFonts w:ascii="Arial" w:hAnsi="Arial" w:cs="Arial"/>
          <w:color w:val="000000"/>
          <w:sz w:val="20"/>
          <w:szCs w:val="20"/>
        </w:rPr>
        <w:t>RBI/2023-24/102</w:t>
      </w:r>
      <w:r>
        <w:rPr>
          <w:rFonts w:ascii="Arial" w:hAnsi="Arial" w:cs="Arial"/>
          <w:color w:val="000000"/>
          <w:sz w:val="20"/>
          <w:szCs w:val="20"/>
        </w:rPr>
        <w:br/>
      </w:r>
      <w:proofErr w:type="spellStart"/>
      <w:r>
        <w:rPr>
          <w:rFonts w:ascii="Arial" w:hAnsi="Arial" w:cs="Arial"/>
          <w:color w:val="000000"/>
          <w:sz w:val="20"/>
          <w:szCs w:val="20"/>
        </w:rPr>
        <w:t>DoS.CO.CSITEG</w:t>
      </w:r>
      <w:proofErr w:type="spellEnd"/>
      <w:r>
        <w:rPr>
          <w:rFonts w:ascii="Arial" w:hAnsi="Arial" w:cs="Arial"/>
          <w:color w:val="000000"/>
          <w:sz w:val="20"/>
          <w:szCs w:val="20"/>
        </w:rPr>
        <w:t>/SEC.1/31.01.015/2023-24</w:t>
      </w:r>
    </w:p>
    <w:p w14:paraId="277B1B8A" w14:textId="77777777" w:rsidR="00DA3A15" w:rsidRDefault="00DA3A15" w:rsidP="00DA3A15">
      <w:pPr>
        <w:pStyle w:val="NormalWeb"/>
        <w:jc w:val="right"/>
        <w:rPr>
          <w:rFonts w:ascii="Arial" w:hAnsi="Arial" w:cs="Arial"/>
          <w:color w:val="000000"/>
          <w:sz w:val="20"/>
          <w:szCs w:val="20"/>
        </w:rPr>
      </w:pPr>
      <w:r>
        <w:rPr>
          <w:rFonts w:ascii="Arial" w:hAnsi="Arial" w:cs="Arial"/>
          <w:color w:val="000000"/>
          <w:sz w:val="20"/>
          <w:szCs w:val="20"/>
        </w:rPr>
        <w:t>April 10, 2023</w:t>
      </w:r>
    </w:p>
    <w:p w14:paraId="38DC455D" w14:textId="77777777" w:rsidR="00DA3A15" w:rsidRDefault="00DA3A15" w:rsidP="00DA3A15">
      <w:pPr>
        <w:pStyle w:val="NormalWeb"/>
        <w:rPr>
          <w:rFonts w:ascii="Arial" w:hAnsi="Arial" w:cs="Arial"/>
          <w:color w:val="000000"/>
          <w:sz w:val="20"/>
          <w:szCs w:val="20"/>
        </w:rPr>
      </w:pPr>
      <w:r>
        <w:rPr>
          <w:rFonts w:ascii="Arial" w:hAnsi="Arial" w:cs="Arial"/>
          <w:color w:val="000000"/>
          <w:sz w:val="20"/>
          <w:szCs w:val="20"/>
        </w:rPr>
        <w:t>The Chairman/Managing Director/Chief Executive Officer</w:t>
      </w:r>
      <w:r>
        <w:rPr>
          <w:rFonts w:ascii="Arial" w:hAnsi="Arial" w:cs="Arial"/>
          <w:color w:val="000000"/>
          <w:sz w:val="20"/>
          <w:szCs w:val="20"/>
        </w:rPr>
        <w:br/>
        <w:t>Scheduled Commercial Banks (excluding Regional Rural Banks);</w:t>
      </w:r>
      <w:r>
        <w:rPr>
          <w:rFonts w:ascii="Arial" w:hAnsi="Arial" w:cs="Arial"/>
          <w:color w:val="000000"/>
          <w:sz w:val="20"/>
          <w:szCs w:val="20"/>
        </w:rPr>
        <w:br/>
        <w:t>Local Area Banks; Small Finance Banks; Payments Banks;</w:t>
      </w:r>
      <w:r>
        <w:rPr>
          <w:rFonts w:ascii="Arial" w:hAnsi="Arial" w:cs="Arial"/>
          <w:color w:val="000000"/>
          <w:sz w:val="20"/>
          <w:szCs w:val="20"/>
        </w:rPr>
        <w:br/>
        <w:t>Primary (Urban) Co-operative Banks;</w:t>
      </w:r>
      <w:r>
        <w:rPr>
          <w:rFonts w:ascii="Arial" w:hAnsi="Arial" w:cs="Arial"/>
          <w:color w:val="000000"/>
          <w:sz w:val="20"/>
          <w:szCs w:val="20"/>
        </w:rPr>
        <w:br/>
        <w:t>Non-Banking Financial Companies;</w:t>
      </w:r>
      <w:r>
        <w:rPr>
          <w:rFonts w:ascii="Arial" w:hAnsi="Arial" w:cs="Arial"/>
          <w:color w:val="000000"/>
          <w:sz w:val="20"/>
          <w:szCs w:val="20"/>
        </w:rPr>
        <w:br/>
        <w:t>Credit Information Companies; and</w:t>
      </w:r>
      <w:r>
        <w:rPr>
          <w:rFonts w:ascii="Arial" w:hAnsi="Arial" w:cs="Arial"/>
          <w:color w:val="000000"/>
          <w:sz w:val="20"/>
          <w:szCs w:val="20"/>
        </w:rPr>
        <w:br/>
        <w:t xml:space="preserve">All India Financial Institutions (EXIM Bank, NABARD, </w:t>
      </w:r>
      <w:proofErr w:type="spellStart"/>
      <w:r>
        <w:rPr>
          <w:rFonts w:ascii="Arial" w:hAnsi="Arial" w:cs="Arial"/>
          <w:color w:val="000000"/>
          <w:sz w:val="20"/>
          <w:szCs w:val="20"/>
        </w:rPr>
        <w:t>NaBFID</w:t>
      </w:r>
      <w:proofErr w:type="spellEnd"/>
      <w:r>
        <w:rPr>
          <w:rFonts w:ascii="Arial" w:hAnsi="Arial" w:cs="Arial"/>
          <w:color w:val="000000"/>
          <w:sz w:val="20"/>
          <w:szCs w:val="20"/>
        </w:rPr>
        <w:t>, NHB and SIDBI)</w:t>
      </w:r>
    </w:p>
    <w:p w14:paraId="755DDE84" w14:textId="77777777" w:rsidR="00DA3A15" w:rsidRDefault="00DA3A15" w:rsidP="00DA3A15">
      <w:pPr>
        <w:pStyle w:val="NormalWeb"/>
        <w:jc w:val="both"/>
        <w:rPr>
          <w:rFonts w:ascii="Arial" w:hAnsi="Arial" w:cs="Arial"/>
          <w:color w:val="000000"/>
          <w:sz w:val="20"/>
          <w:szCs w:val="20"/>
        </w:rPr>
      </w:pPr>
      <w:r>
        <w:rPr>
          <w:rFonts w:ascii="Arial" w:hAnsi="Arial" w:cs="Arial"/>
          <w:color w:val="000000"/>
          <w:sz w:val="20"/>
          <w:szCs w:val="20"/>
        </w:rPr>
        <w:t>Madam/Dear Sir,</w:t>
      </w:r>
    </w:p>
    <w:p w14:paraId="2D2E7713" w14:textId="77777777" w:rsidR="00DA3A15" w:rsidRDefault="00DA3A15" w:rsidP="00DA3A15">
      <w:pPr>
        <w:pStyle w:val="head"/>
        <w:jc w:val="both"/>
        <w:rPr>
          <w:rFonts w:ascii="Arial" w:hAnsi="Arial" w:cs="Arial"/>
          <w:b/>
          <w:bCs/>
          <w:color w:val="000000"/>
          <w:sz w:val="20"/>
          <w:szCs w:val="20"/>
        </w:rPr>
      </w:pPr>
      <w:r>
        <w:rPr>
          <w:rFonts w:ascii="Arial" w:hAnsi="Arial" w:cs="Arial"/>
          <w:b/>
          <w:bCs/>
          <w:color w:val="000000"/>
          <w:sz w:val="20"/>
          <w:szCs w:val="20"/>
        </w:rPr>
        <w:t>Master Direction on Outsourcing of Information Technology Services</w:t>
      </w:r>
    </w:p>
    <w:p w14:paraId="6A9AD6F6" w14:textId="77777777" w:rsidR="00DA3A15" w:rsidRDefault="00DA3A15" w:rsidP="00DA3A15">
      <w:pPr>
        <w:pStyle w:val="NormalWeb"/>
        <w:jc w:val="both"/>
        <w:rPr>
          <w:rFonts w:ascii="Arial" w:hAnsi="Arial" w:cs="Arial"/>
          <w:color w:val="000000"/>
          <w:sz w:val="20"/>
          <w:szCs w:val="20"/>
        </w:rPr>
      </w:pPr>
      <w:r>
        <w:rPr>
          <w:rFonts w:ascii="Arial" w:hAnsi="Arial" w:cs="Arial"/>
          <w:color w:val="000000"/>
          <w:sz w:val="20"/>
          <w:szCs w:val="20"/>
        </w:rPr>
        <w:t>Regulated Entities (REs) have been extensively leveraging Information Technology (IT) and IT enabled Services (</w:t>
      </w:r>
      <w:proofErr w:type="spellStart"/>
      <w:r>
        <w:rPr>
          <w:rFonts w:ascii="Arial" w:hAnsi="Arial" w:cs="Arial"/>
          <w:color w:val="000000"/>
          <w:sz w:val="20"/>
          <w:szCs w:val="20"/>
        </w:rPr>
        <w:t>ITeS</w:t>
      </w:r>
      <w:proofErr w:type="spellEnd"/>
      <w:r>
        <w:rPr>
          <w:rFonts w:ascii="Arial" w:hAnsi="Arial" w:cs="Arial"/>
          <w:color w:val="000000"/>
          <w:sz w:val="20"/>
          <w:szCs w:val="20"/>
        </w:rPr>
        <w:t>) to support their business models, products and services offered to their customers. REs also outsource substantial portion of their IT activities to third parties, which expose them to various risks.</w:t>
      </w:r>
    </w:p>
    <w:p w14:paraId="51358B02" w14:textId="77777777" w:rsidR="00DA3A15" w:rsidRDefault="00DA3A15" w:rsidP="00DA3A15">
      <w:pPr>
        <w:pStyle w:val="NormalWeb"/>
        <w:jc w:val="both"/>
        <w:rPr>
          <w:rFonts w:ascii="Arial" w:hAnsi="Arial" w:cs="Arial"/>
          <w:color w:val="000000"/>
          <w:sz w:val="20"/>
          <w:szCs w:val="20"/>
        </w:rPr>
      </w:pPr>
      <w:r>
        <w:rPr>
          <w:rFonts w:ascii="Arial" w:hAnsi="Arial" w:cs="Arial"/>
          <w:color w:val="000000"/>
          <w:sz w:val="20"/>
          <w:szCs w:val="20"/>
        </w:rPr>
        <w:t>2. In order to ensure effective management of attendant risks, the </w:t>
      </w:r>
      <w:hyperlink r:id="rId10" w:tgtFrame="_blank" w:history="1">
        <w:r>
          <w:rPr>
            <w:rStyle w:val="Hyperlink"/>
            <w:rFonts w:ascii="Arial" w:hAnsi="Arial" w:cs="Arial"/>
            <w:sz w:val="20"/>
            <w:szCs w:val="20"/>
          </w:rPr>
          <w:t>Statement on Developmental and Regulatory Policies dated February 10, 2022</w:t>
        </w:r>
      </w:hyperlink>
      <w:r>
        <w:rPr>
          <w:rFonts w:ascii="Arial" w:hAnsi="Arial" w:cs="Arial"/>
          <w:color w:val="000000"/>
          <w:sz w:val="20"/>
          <w:szCs w:val="20"/>
        </w:rPr>
        <w:t>, proposed the issuance of suitable regulatory guidelines on Outsourcing of IT Services. Accordingly, a draft Master Direction on Outsourcing of IT Services was released for public comments in </w:t>
      </w:r>
      <w:hyperlink r:id="rId11" w:tgtFrame="_blank" w:history="1">
        <w:r>
          <w:rPr>
            <w:rStyle w:val="Hyperlink"/>
            <w:rFonts w:ascii="Arial" w:hAnsi="Arial" w:cs="Arial"/>
            <w:sz w:val="20"/>
            <w:szCs w:val="20"/>
          </w:rPr>
          <w:t>June 2022</w:t>
        </w:r>
      </w:hyperlink>
      <w:r>
        <w:rPr>
          <w:rFonts w:ascii="Arial" w:hAnsi="Arial" w:cs="Arial"/>
          <w:color w:val="000000"/>
          <w:sz w:val="20"/>
          <w:szCs w:val="20"/>
        </w:rPr>
        <w:t>. Based on feedback received, the finalised Reserve Bank of India (Outsourcing of Information Technology Services) Directions, 2023 are </w:t>
      </w:r>
      <w:hyperlink r:id="rId12" w:anchor="MD" w:history="1">
        <w:r>
          <w:rPr>
            <w:rStyle w:val="Hyperlink"/>
            <w:rFonts w:ascii="Arial" w:hAnsi="Arial" w:cs="Arial"/>
            <w:sz w:val="20"/>
            <w:szCs w:val="20"/>
          </w:rPr>
          <w:t>enclosed</w:t>
        </w:r>
      </w:hyperlink>
      <w:r>
        <w:rPr>
          <w:rFonts w:ascii="Arial" w:hAnsi="Arial" w:cs="Arial"/>
          <w:color w:val="000000"/>
          <w:sz w:val="20"/>
          <w:szCs w:val="20"/>
        </w:rPr>
        <w:t> herewith.</w:t>
      </w:r>
    </w:p>
    <w:p w14:paraId="0E22BE4C" w14:textId="77777777" w:rsidR="00DA3A15" w:rsidRDefault="00DA3A15" w:rsidP="00DA3A15">
      <w:pPr>
        <w:pStyle w:val="NormalWeb"/>
        <w:jc w:val="both"/>
        <w:rPr>
          <w:rFonts w:ascii="Arial" w:hAnsi="Arial" w:cs="Arial"/>
          <w:color w:val="000000"/>
          <w:sz w:val="20"/>
          <w:szCs w:val="20"/>
        </w:rPr>
      </w:pPr>
      <w:r>
        <w:rPr>
          <w:rFonts w:ascii="Arial" w:hAnsi="Arial" w:cs="Arial"/>
          <w:color w:val="000000"/>
          <w:sz w:val="20"/>
          <w:szCs w:val="20"/>
        </w:rPr>
        <w:t>3. The underlying principle of these Directions is to ensure that outsourcing arrangements neither diminish REs ability to fulfil its obligations to customers nor impede effective supervision by the RBI.</w:t>
      </w:r>
    </w:p>
    <w:p w14:paraId="65EB12AB" w14:textId="77777777" w:rsidR="00DA3A15" w:rsidRDefault="00DA3A15" w:rsidP="00DA3A15">
      <w:pPr>
        <w:pStyle w:val="NormalWeb"/>
        <w:jc w:val="both"/>
        <w:rPr>
          <w:rFonts w:ascii="Arial" w:hAnsi="Arial" w:cs="Arial"/>
          <w:color w:val="000000"/>
          <w:sz w:val="20"/>
          <w:szCs w:val="20"/>
        </w:rPr>
      </w:pPr>
      <w:r>
        <w:rPr>
          <w:rFonts w:ascii="Arial" w:hAnsi="Arial" w:cs="Arial"/>
          <w:color w:val="000000"/>
          <w:sz w:val="20"/>
          <w:szCs w:val="20"/>
        </w:rPr>
        <w:t>4. With a view to provide REs adequate time to comply with the requirements, the enclosed Directions shall come into effect from October 1, 2023.</w:t>
      </w:r>
    </w:p>
    <w:p w14:paraId="063818A5" w14:textId="77777777" w:rsidR="00DA3A15" w:rsidRDefault="00DA3A15" w:rsidP="00DA3A15">
      <w:pPr>
        <w:pStyle w:val="NormalWeb"/>
        <w:jc w:val="both"/>
        <w:rPr>
          <w:rFonts w:ascii="Arial" w:hAnsi="Arial" w:cs="Arial"/>
          <w:color w:val="000000"/>
          <w:sz w:val="20"/>
          <w:szCs w:val="20"/>
        </w:rPr>
      </w:pPr>
      <w:r>
        <w:rPr>
          <w:rFonts w:ascii="Arial" w:hAnsi="Arial" w:cs="Arial"/>
          <w:color w:val="000000"/>
          <w:sz w:val="20"/>
          <w:szCs w:val="20"/>
        </w:rPr>
        <w:t>Yours faithfully,</w:t>
      </w:r>
    </w:p>
    <w:p w14:paraId="31162259" w14:textId="77777777" w:rsidR="00DA3A15" w:rsidRDefault="00DA3A15" w:rsidP="00DA3A15">
      <w:pPr>
        <w:pStyle w:val="NormalWeb"/>
        <w:jc w:val="both"/>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T.K.Rajan</w:t>
      </w:r>
      <w:proofErr w:type="spellEnd"/>
      <w:r>
        <w:rPr>
          <w:rFonts w:ascii="Arial" w:hAnsi="Arial" w:cs="Arial"/>
          <w:color w:val="000000"/>
          <w:sz w:val="20"/>
          <w:szCs w:val="20"/>
        </w:rPr>
        <w:t>)</w:t>
      </w:r>
      <w:r>
        <w:rPr>
          <w:rFonts w:ascii="Arial" w:hAnsi="Arial" w:cs="Arial"/>
          <w:color w:val="000000"/>
          <w:sz w:val="20"/>
          <w:szCs w:val="20"/>
        </w:rPr>
        <w:br/>
        <w:t>Chief General Manager</w:t>
      </w:r>
    </w:p>
    <w:p w14:paraId="393070D9" w14:textId="77777777" w:rsidR="00DA3A15" w:rsidRDefault="00DA3A15" w:rsidP="00DA3A15">
      <w:pPr>
        <w:pStyle w:val="NormalWeb"/>
        <w:jc w:val="both"/>
        <w:rPr>
          <w:rFonts w:ascii="Arial" w:hAnsi="Arial" w:cs="Arial"/>
          <w:color w:val="000000"/>
          <w:sz w:val="20"/>
          <w:szCs w:val="20"/>
        </w:rPr>
      </w:pPr>
      <w:proofErr w:type="spellStart"/>
      <w:r>
        <w:rPr>
          <w:rFonts w:ascii="Arial" w:hAnsi="Arial" w:cs="Arial"/>
          <w:color w:val="000000"/>
          <w:sz w:val="20"/>
          <w:szCs w:val="20"/>
        </w:rPr>
        <w:t>Encl</w:t>
      </w:r>
      <w:proofErr w:type="spellEnd"/>
      <w:r>
        <w:rPr>
          <w:rFonts w:ascii="Arial" w:hAnsi="Arial" w:cs="Arial"/>
          <w:color w:val="000000"/>
          <w:sz w:val="20"/>
          <w:szCs w:val="20"/>
        </w:rPr>
        <w:t>: Reserve Bank of India (Outsourcing of Information Technology Services) Directions, 2023</w:t>
      </w:r>
    </w:p>
    <w:p w14:paraId="1265F75F" w14:textId="77777777" w:rsidR="00DA3A15" w:rsidRPr="004D35B6" w:rsidRDefault="00DA3A15" w:rsidP="00DA3A15">
      <w:pPr>
        <w:spacing w:after="0"/>
      </w:pPr>
    </w:p>
    <w:p w14:paraId="6CCFB660" w14:textId="77777777" w:rsidR="00DA3A15" w:rsidRDefault="00DA3A15" w:rsidP="00DA3A15">
      <w:pPr>
        <w:pStyle w:val="NormalWeb"/>
        <w:rPr>
          <w:rFonts w:ascii="Arial" w:hAnsi="Arial" w:cs="Arial"/>
          <w:bCs/>
          <w:color w:val="000000"/>
          <w:sz w:val="20"/>
          <w:szCs w:val="20"/>
        </w:rPr>
      </w:pPr>
    </w:p>
    <w:p w14:paraId="779469EC" w14:textId="77777777" w:rsidR="00DA3A15" w:rsidRDefault="00DA3A15" w:rsidP="00DA3A15">
      <w:pPr>
        <w:spacing w:after="0"/>
      </w:pPr>
      <w:r>
        <w:t>More details can be referred to in the below link.</w:t>
      </w:r>
    </w:p>
    <w:p w14:paraId="13B0760D" w14:textId="77777777" w:rsidR="00DA3A15" w:rsidRDefault="00DA3A15" w:rsidP="00DA3A15">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13" w:history="1">
        <w:r w:rsidRPr="005F425E">
          <w:rPr>
            <w:rStyle w:val="Hyperlink"/>
            <w:rFonts w:ascii="Arial" w:hAnsi="Arial" w:cs="Arial"/>
            <w:bCs/>
            <w:sz w:val="20"/>
            <w:szCs w:val="20"/>
          </w:rPr>
          <w:t>https://rbi.org.in/Scripts/NotificationUser.aspx?Id=12486&amp;Mode=0</w:t>
        </w:r>
      </w:hyperlink>
    </w:p>
    <w:bookmarkEnd w:id="6"/>
    <w:p w14:paraId="73AD992D" w14:textId="77777777" w:rsidR="00DA3A15" w:rsidRDefault="00DA3A15" w:rsidP="00DA3A15">
      <w:pPr>
        <w:pStyle w:val="NormalWeb"/>
        <w:rPr>
          <w:rFonts w:ascii="Arial" w:hAnsi="Arial" w:cs="Arial"/>
          <w:bCs/>
          <w:color w:val="000000"/>
          <w:sz w:val="20"/>
          <w:szCs w:val="20"/>
        </w:rPr>
      </w:pPr>
    </w:p>
    <w:bookmarkEnd w:id="7"/>
    <w:p w14:paraId="20E4F36D" w14:textId="77777777" w:rsidR="00DA3A15" w:rsidRPr="000C5718" w:rsidRDefault="00DA3A15" w:rsidP="000C5718">
      <w:pPr>
        <w:rPr>
          <w:lang w:val="en-US"/>
        </w:rPr>
      </w:pPr>
    </w:p>
    <w:sectPr w:rsidR="00DA3A15" w:rsidRPr="000C57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A38"/>
    <w:rsid w:val="000C5718"/>
    <w:rsid w:val="001C3B05"/>
    <w:rsid w:val="003F2A38"/>
    <w:rsid w:val="0056033A"/>
    <w:rsid w:val="00B44B00"/>
    <w:rsid w:val="00CA0BE2"/>
    <w:rsid w:val="00D43313"/>
    <w:rsid w:val="00DA3A1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E60FF"/>
  <w15:chartTrackingRefBased/>
  <w15:docId w15:val="{8543211A-0B0B-46C8-9DE9-E70592727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3A15"/>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head">
    <w:name w:val="head"/>
    <w:basedOn w:val="Normal"/>
    <w:rsid w:val="00DA3A15"/>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DA3A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01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bi.org.in/Scripts/NotificationUser.aspx?Id=12454&amp;Mode=0" TargetMode="External"/><Relationship Id="rId13" Type="http://schemas.openxmlformats.org/officeDocument/2006/relationships/hyperlink" Target="https://rbi.org.in/Scripts/NotificationUser.aspx?Id=12486&amp;Mode=0" TargetMode="External"/><Relationship Id="rId3" Type="http://schemas.openxmlformats.org/officeDocument/2006/relationships/webSettings" Target="webSettings.xml"/><Relationship Id="rId7" Type="http://schemas.openxmlformats.org/officeDocument/2006/relationships/hyperlink" Target="https://rbi.org.in/Scripts/NotificationUser.aspx?Id=12452&amp;Mode=0" TargetMode="External"/><Relationship Id="rId12" Type="http://schemas.openxmlformats.org/officeDocument/2006/relationships/hyperlink" Target="https://rbi.org.in/Scripts/NotificationUser.aspx?Id=12486&amp;Mode=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bi.org.in/Scripts/BS_ViewMasDirections.aspx?id=12156" TargetMode="External"/><Relationship Id="rId11" Type="http://schemas.openxmlformats.org/officeDocument/2006/relationships/hyperlink" Target="https://www.rbi.org.in/Scripts/BS_PressReleaseDisplay.aspx?prid=53911" TargetMode="External"/><Relationship Id="rId5" Type="http://schemas.openxmlformats.org/officeDocument/2006/relationships/hyperlink" Target="https://www.rbi.org.in/Scripts/BS_ViewMasDirections.aspx?id=12156" TargetMode="External"/><Relationship Id="rId15" Type="http://schemas.openxmlformats.org/officeDocument/2006/relationships/theme" Target="theme/theme1.xml"/><Relationship Id="rId10" Type="http://schemas.openxmlformats.org/officeDocument/2006/relationships/hyperlink" Target="https://www.rbi.org.in/Scripts/BS_PressReleaseDisplay.aspx?prid=53248" TargetMode="External"/><Relationship Id="rId4" Type="http://schemas.openxmlformats.org/officeDocument/2006/relationships/hyperlink" Target="https://www.rbi.org.in/Scripts/BS_PressReleaseDisplay.aspx?prid=55179" TargetMode="External"/><Relationship Id="rId9" Type="http://schemas.openxmlformats.org/officeDocument/2006/relationships/hyperlink" Target="https://rbi.org.in/Scripts/NotificationUser.aspx?Id=12454&amp;Mode=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973</Words>
  <Characters>5552</Characters>
  <Application>Microsoft Office Word</Application>
  <DocSecurity>0</DocSecurity>
  <Lines>46</Lines>
  <Paragraphs>13</Paragraphs>
  <ScaleCrop>false</ScaleCrop>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srija sarkar</dc:creator>
  <cp:keywords/>
  <dc:description/>
  <cp:lastModifiedBy>Srija Sarkar</cp:lastModifiedBy>
  <cp:revision>7</cp:revision>
  <dcterms:created xsi:type="dcterms:W3CDTF">2023-08-01T15:51:00Z</dcterms:created>
  <dcterms:modified xsi:type="dcterms:W3CDTF">2023-08-02T05:19:00Z</dcterms:modified>
</cp:coreProperties>
</file>